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1F" w:rsidRDefault="0098181F" w:rsidP="0098181F">
      <w:r>
        <w:t xml:space="preserve">ANA-MARIA STANKOVIĆ </w:t>
      </w:r>
      <w:r w:rsidR="003E0ACC">
        <w:t>I ANA ŠINJORI POBJEDILE</w:t>
      </w:r>
      <w:r>
        <w:t xml:space="preserve"> NA 1. ZLATNOJ SOLINKI</w:t>
      </w:r>
    </w:p>
    <w:p w:rsidR="0098181F" w:rsidRDefault="0098181F" w:rsidP="0098181F">
      <w:r>
        <w:t>Natjecanjem 2. kola Hrvatskog kuharskog kupa pod nazivom “Zlatna Solinka“, nastavljeno je jedanaesto izdanje Hrvatskog kuharskog kupa, festivala u cjelinu povezanih pet kulinarskih manifestacija koje se na zadane teme održavaju diljem Hrvatske.</w:t>
      </w:r>
    </w:p>
    <w:p w:rsidR="0098181F" w:rsidRDefault="0098181F" w:rsidP="0098181F">
      <w:r>
        <w:t xml:space="preserve">Hrvatski kuharski kup po prvi puta je održan u Solinu u organizaciji Udruge kuhara Splitsko-dalmatinske županije i Hrvatskog kuharskog saveza. Želja organizatora bila je podići svijest o ugroženosti endemske vrste pastrve Solinke pa time i naziv i tema manifestacije. Ova </w:t>
      </w:r>
      <w:proofErr w:type="spellStart"/>
      <w:r>
        <w:t>mekousna</w:t>
      </w:r>
      <w:proofErr w:type="spellEnd"/>
      <w:r>
        <w:t xml:space="preserve"> pastrva živi u rijekama </w:t>
      </w:r>
      <w:proofErr w:type="spellStart"/>
      <w:r>
        <w:t>Jadru</w:t>
      </w:r>
      <w:proofErr w:type="spellEnd"/>
      <w:r>
        <w:t xml:space="preserve">, Žrnovnici i </w:t>
      </w:r>
      <w:proofErr w:type="spellStart"/>
      <w:r>
        <w:t>Vrljici</w:t>
      </w:r>
      <w:proofErr w:type="spellEnd"/>
      <w:r>
        <w:t xml:space="preserve">, a namjera je podići svijest kako tu endemsku riblju vrstu ugrožavaju onečišćenje okoliša, industrijalizacija i urbanizacija </w:t>
      </w:r>
      <w:proofErr w:type="spellStart"/>
      <w:r>
        <w:t>slijevnog</w:t>
      </w:r>
      <w:proofErr w:type="spellEnd"/>
      <w:r>
        <w:t xml:space="preserve"> područja, prometnice, kamenolomi, industrija, kanalizacija i </w:t>
      </w:r>
      <w:proofErr w:type="spellStart"/>
      <w:r>
        <w:t>prelov</w:t>
      </w:r>
      <w:proofErr w:type="spellEnd"/>
      <w:r>
        <w:t>. Iako je u propozicijama natjecanja navedena pastrva, ova endemska vrsta nije korištena već uzgojena pastrva na koju smo svi navikli.</w:t>
      </w:r>
    </w:p>
    <w:p w:rsidR="0098181F" w:rsidRDefault="0098181F" w:rsidP="0098181F">
      <w:r>
        <w:t xml:space="preserve">Natjecatelji su imali zadatak pripremiti svečanu hladnu platu od humusa, svježeg sira i piletine, glavna jela od pastrve, povrća i kukuruzne krupice te deserte od suhih smokva, čokolade i </w:t>
      </w:r>
      <w:proofErr w:type="spellStart"/>
      <w:r>
        <w:t>orašastih</w:t>
      </w:r>
      <w:proofErr w:type="spellEnd"/>
      <w:r>
        <w:t xml:space="preserve"> plodova. Radove natjecatelja ocijenili su eminentni kuhari, članovi Sekcije ocjenjivača HKS-a Damir </w:t>
      </w:r>
      <w:proofErr w:type="spellStart"/>
      <w:r>
        <w:t>Crleni</w:t>
      </w:r>
      <w:proofErr w:type="spellEnd"/>
      <w:r>
        <w:t xml:space="preserve">, Branko </w:t>
      </w:r>
      <w:proofErr w:type="spellStart"/>
      <w:r>
        <w:t>Žufika</w:t>
      </w:r>
      <w:proofErr w:type="spellEnd"/>
      <w:r>
        <w:t xml:space="preserve"> i Vladimir </w:t>
      </w:r>
      <w:proofErr w:type="spellStart"/>
      <w:r>
        <w:t>Balent</w:t>
      </w:r>
      <w:proofErr w:type="spellEnd"/>
      <w:r>
        <w:t xml:space="preserve"> koji su osobitu pažnju posvetiti vanjskom izgledu, sastavu i naravno, okusu jela.</w:t>
      </w:r>
    </w:p>
    <w:p w:rsidR="00020035" w:rsidRDefault="0098181F" w:rsidP="0098181F">
      <w:r>
        <w:t xml:space="preserve">Kao i u prvom kolu pobjedu je odnijela mlada kuharica iz Vinkovaca, Ana Maria Stanković sa pomoćnicom Anom </w:t>
      </w:r>
      <w:proofErr w:type="spellStart"/>
      <w:r>
        <w:t>Šinjori</w:t>
      </w:r>
      <w:proofErr w:type="spellEnd"/>
      <w:r>
        <w:t xml:space="preserve"> predstavljajući Srednju strukovnu školu Vinkovc</w:t>
      </w:r>
      <w:r w:rsidR="003E0ACC">
        <w:t>i.</w:t>
      </w:r>
      <w:r>
        <w:t xml:space="preserve"> Drugo mjesto pripalo je Dini </w:t>
      </w:r>
      <w:proofErr w:type="spellStart"/>
      <w:r>
        <w:t>Bebiću</w:t>
      </w:r>
      <w:proofErr w:type="spellEnd"/>
      <w:r>
        <w:t xml:space="preserve"> iz </w:t>
      </w:r>
      <w:proofErr w:type="spellStart"/>
      <w:r>
        <w:t>Dogus</w:t>
      </w:r>
      <w:proofErr w:type="spellEnd"/>
      <w:r>
        <w:t xml:space="preserve"> Marina Hoteli, D-</w:t>
      </w:r>
      <w:proofErr w:type="spellStart"/>
      <w:r>
        <w:t>Resort</w:t>
      </w:r>
      <w:proofErr w:type="spellEnd"/>
      <w:r>
        <w:t xml:space="preserve"> iz Šibenika dok se na treće mjesto plasirao Ivan Tomas iz restorana Fontana Crnković iz Varaždina. Ana-Maria pripremila je najbolju hladnu platu I glavno jelo dok je u pripremi deserta prvo mjesto prepustila Dini </w:t>
      </w:r>
      <w:proofErr w:type="spellStart"/>
      <w:r>
        <w:t>Bebiću</w:t>
      </w:r>
      <w:proofErr w:type="spellEnd"/>
      <w:r>
        <w:t xml:space="preserve">. Za svoje kulinarsko umijeće nagrađena je bogatim sponzorskim I novčanim nagradama koje su joj zajedničkim snagama uručili gradonačelnik Solina Blaženko Boban, predsjednik Hrvatskog kuharskog saveza Damir </w:t>
      </w:r>
      <w:proofErr w:type="spellStart"/>
      <w:r>
        <w:t>Crleni</w:t>
      </w:r>
      <w:proofErr w:type="spellEnd"/>
      <w:r>
        <w:t xml:space="preserve">, kulinarski promotor Podravke Dražen </w:t>
      </w:r>
      <w:proofErr w:type="spellStart"/>
      <w:r>
        <w:t>Đurišević</w:t>
      </w:r>
      <w:proofErr w:type="spellEnd"/>
      <w:r>
        <w:t xml:space="preserve"> i Maja </w:t>
      </w:r>
      <w:proofErr w:type="spellStart"/>
      <w:r>
        <w:t>Muskatelo</w:t>
      </w:r>
      <w:proofErr w:type="spellEnd"/>
      <w:r>
        <w:t xml:space="preserve"> ispred Turističke zajednice grada Solina.</w:t>
      </w:r>
    </w:p>
    <w:p w:rsidR="0098181F" w:rsidRDefault="0098181F" w:rsidP="0098181F"/>
    <w:p w:rsidR="0098181F" w:rsidRPr="0098181F" w:rsidRDefault="0098181F" w:rsidP="0098181F">
      <w:r w:rsidRPr="0098181F">
        <w:t>Rezultati natjecanja: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2266"/>
        <w:gridCol w:w="4155"/>
        <w:gridCol w:w="1545"/>
      </w:tblGrid>
      <w:tr w:rsidR="0098181F" w:rsidRPr="0098181F" w:rsidTr="0098181F"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Kategorija A – Hladna plata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Plasman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Natjecatelj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Objekt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Bodovi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Ana-Maria Stanković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Srednja Strukovna škola Vinkovci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71,67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Dino </w:t>
            </w:r>
            <w:proofErr w:type="spellStart"/>
            <w:r w:rsidRPr="0098181F">
              <w:t>Bebić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proofErr w:type="spellStart"/>
            <w:r w:rsidRPr="0098181F">
              <w:t>Dogus</w:t>
            </w:r>
            <w:proofErr w:type="spellEnd"/>
            <w:r w:rsidRPr="0098181F">
              <w:t xml:space="preserve"> Marina Hoteli, D-</w:t>
            </w:r>
            <w:proofErr w:type="spellStart"/>
            <w:r w:rsidRPr="0098181F">
              <w:t>Resort</w:t>
            </w:r>
            <w:proofErr w:type="spellEnd"/>
            <w:r w:rsidRPr="0098181F">
              <w:t xml:space="preserve"> Šibenik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69,67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Goran Marović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Hotel </w:t>
            </w:r>
            <w:proofErr w:type="spellStart"/>
            <w:r w:rsidRPr="0098181F">
              <w:t>Cornaro</w:t>
            </w:r>
            <w:proofErr w:type="spellEnd"/>
            <w:r w:rsidRPr="0098181F">
              <w:t>, Split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57,00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Ivan Tomas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Restoran Fontana Crnković, Varaždin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54,00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Anđelko Ledić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Zlatni lug, Požega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52,67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Milan </w:t>
            </w:r>
            <w:proofErr w:type="spellStart"/>
            <w:r w:rsidRPr="0098181F">
              <w:t>Žufika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Pivnica </w:t>
            </w:r>
            <w:proofErr w:type="spellStart"/>
            <w:r w:rsidRPr="0098181F">
              <w:t>Kraluš</w:t>
            </w:r>
            <w:proofErr w:type="spellEnd"/>
            <w:r w:rsidRPr="0098181F">
              <w:t>, Koprivnica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51,00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Default="0098181F" w:rsidP="0098181F"/>
          <w:p w:rsidR="003E0ACC" w:rsidRDefault="003E0ACC" w:rsidP="0098181F"/>
          <w:p w:rsidR="003E0ACC" w:rsidRPr="0098181F" w:rsidRDefault="003E0ACC" w:rsidP="0098181F"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</w:tr>
      <w:tr w:rsidR="0098181F" w:rsidRPr="0098181F" w:rsidTr="0098181F"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lastRenderedPageBreak/>
              <w:t>Kategorija B – Toplo jelo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Plasman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Natjecatelj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Objekt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Bodovi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Ana-Maria Stanković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Srednja Strukovna škola Vinkovci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77,33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Dino </w:t>
            </w:r>
            <w:proofErr w:type="spellStart"/>
            <w:r w:rsidRPr="0098181F">
              <w:t>Bebić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proofErr w:type="spellStart"/>
            <w:r w:rsidRPr="0098181F">
              <w:t>Dogus</w:t>
            </w:r>
            <w:proofErr w:type="spellEnd"/>
            <w:r w:rsidRPr="0098181F">
              <w:t xml:space="preserve"> Marina Hoteli, D-</w:t>
            </w:r>
            <w:proofErr w:type="spellStart"/>
            <w:r w:rsidRPr="0098181F">
              <w:t>Resort</w:t>
            </w:r>
            <w:proofErr w:type="spellEnd"/>
            <w:r w:rsidRPr="0098181F">
              <w:t xml:space="preserve"> Šibenik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71,33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Anđelko Ledić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Zlatni lug, Požega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67,33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Milan </w:t>
            </w:r>
            <w:proofErr w:type="spellStart"/>
            <w:r w:rsidRPr="0098181F">
              <w:t>Žufika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Pivnica </w:t>
            </w:r>
            <w:proofErr w:type="spellStart"/>
            <w:r w:rsidRPr="0098181F">
              <w:t>Kraluš</w:t>
            </w:r>
            <w:proofErr w:type="spellEnd"/>
            <w:r w:rsidRPr="0098181F">
              <w:t>, Koprivnica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58,67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Ivan Tomas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Restoran Fontana Crnković, Varaždin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58,00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Boško Kovačev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Restoran </w:t>
            </w:r>
            <w:proofErr w:type="spellStart"/>
            <w:r w:rsidRPr="0098181F">
              <w:t>Gašpić</w:t>
            </w:r>
            <w:proofErr w:type="spellEnd"/>
            <w:r w:rsidRPr="0098181F">
              <w:t>, Solin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53,67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Goran Marović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Hotel </w:t>
            </w:r>
            <w:proofErr w:type="spellStart"/>
            <w:r w:rsidRPr="0098181F">
              <w:t>Cornaro</w:t>
            </w:r>
            <w:proofErr w:type="spellEnd"/>
            <w:r w:rsidRPr="0098181F">
              <w:t>, Split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51,00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</w:tr>
      <w:tr w:rsidR="0098181F" w:rsidRPr="0098181F" w:rsidTr="0098181F"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Kategorija C – Desert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Plasman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Natjecatelj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Objekt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Bodovi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Dino </w:t>
            </w:r>
            <w:proofErr w:type="spellStart"/>
            <w:r w:rsidRPr="0098181F">
              <w:t>Bebić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proofErr w:type="spellStart"/>
            <w:r w:rsidRPr="0098181F">
              <w:t>Dogus</w:t>
            </w:r>
            <w:proofErr w:type="spellEnd"/>
            <w:r w:rsidRPr="0098181F">
              <w:t xml:space="preserve"> Marina Hoteli, D-</w:t>
            </w:r>
            <w:proofErr w:type="spellStart"/>
            <w:r w:rsidRPr="0098181F">
              <w:t>Resort</w:t>
            </w:r>
            <w:proofErr w:type="spellEnd"/>
            <w:r w:rsidRPr="0098181F">
              <w:t xml:space="preserve"> Šibenik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66,33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Ana-Maria Stanković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Srednja Strukovna škola Vinkovci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65,33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Ivan Tomas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Restoran Fontana Crnković, Varaždin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58,00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Goran Marović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Hotel </w:t>
            </w:r>
            <w:proofErr w:type="spellStart"/>
            <w:r w:rsidRPr="0098181F">
              <w:t>Cornaro</w:t>
            </w:r>
            <w:proofErr w:type="spellEnd"/>
            <w:r w:rsidRPr="0098181F">
              <w:t>, Split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53,33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Milan </w:t>
            </w:r>
            <w:proofErr w:type="spellStart"/>
            <w:r w:rsidRPr="0098181F">
              <w:t>Žufika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Pivnica </w:t>
            </w:r>
            <w:proofErr w:type="spellStart"/>
            <w:r w:rsidRPr="0098181F">
              <w:t>Kraluš</w:t>
            </w:r>
            <w:proofErr w:type="spellEnd"/>
            <w:r w:rsidRPr="0098181F">
              <w:t>, Koprivnica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50,67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Anđelko Ledić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Zlatni lug, Požega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49,67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Boško Kovačev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Restoran </w:t>
            </w:r>
            <w:proofErr w:type="spellStart"/>
            <w:r w:rsidRPr="0098181F">
              <w:t>Gašpić</w:t>
            </w:r>
            <w:proofErr w:type="spellEnd"/>
            <w:r w:rsidRPr="0098181F">
              <w:t>, Solin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49,00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</w:tr>
      <w:tr w:rsidR="0098181F" w:rsidRPr="0098181F" w:rsidTr="0098181F"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Ukupni poredak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/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Plasman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Natjecatelj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Objekt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rPr>
                <w:b/>
                <w:bCs/>
              </w:rPr>
              <w:t>Bodovi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Ana-Maria Stanković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Srednja Strukovna škola Vinkovci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214,33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Dino </w:t>
            </w:r>
            <w:proofErr w:type="spellStart"/>
            <w:r w:rsidRPr="0098181F">
              <w:t>Bebić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proofErr w:type="spellStart"/>
            <w:r w:rsidRPr="0098181F">
              <w:t>Dogus</w:t>
            </w:r>
            <w:proofErr w:type="spellEnd"/>
            <w:r w:rsidRPr="0098181F">
              <w:t xml:space="preserve"> Marina Hoteli, D-</w:t>
            </w:r>
            <w:proofErr w:type="spellStart"/>
            <w:r w:rsidRPr="0098181F">
              <w:t>Resort</w:t>
            </w:r>
            <w:proofErr w:type="spellEnd"/>
            <w:r w:rsidRPr="0098181F">
              <w:t xml:space="preserve"> Šibenik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207,33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Ivan Tomas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Restoran Fontana Crnković, Varaždin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170,00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Anđelko Ledić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Zlatni lug, Požega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169,67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Goran Marović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Hotel </w:t>
            </w:r>
            <w:proofErr w:type="spellStart"/>
            <w:r w:rsidRPr="0098181F">
              <w:t>Cornaro</w:t>
            </w:r>
            <w:proofErr w:type="spellEnd"/>
            <w:r w:rsidRPr="0098181F">
              <w:t>, Split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161,33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Milan </w:t>
            </w:r>
            <w:proofErr w:type="spellStart"/>
            <w:r w:rsidRPr="0098181F">
              <w:t>Žufika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Pivnica </w:t>
            </w:r>
            <w:proofErr w:type="spellStart"/>
            <w:r w:rsidRPr="0098181F">
              <w:t>Kraluš</w:t>
            </w:r>
            <w:proofErr w:type="spellEnd"/>
            <w:r w:rsidRPr="0098181F">
              <w:t>, Koprivnica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160,33</w:t>
            </w:r>
          </w:p>
        </w:tc>
      </w:tr>
      <w:tr w:rsidR="0098181F" w:rsidRPr="0098181F" w:rsidTr="0098181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Boško Kovačev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 xml:space="preserve">Restoran </w:t>
            </w:r>
            <w:proofErr w:type="spellStart"/>
            <w:r w:rsidRPr="0098181F">
              <w:t>Gašpić</w:t>
            </w:r>
            <w:proofErr w:type="spellEnd"/>
            <w:r w:rsidRPr="0098181F">
              <w:t>, Solin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81F" w:rsidRPr="0098181F" w:rsidRDefault="0098181F" w:rsidP="0098181F">
            <w:r w:rsidRPr="0098181F">
              <w:t>102,67</w:t>
            </w:r>
          </w:p>
        </w:tc>
      </w:tr>
    </w:tbl>
    <w:p w:rsidR="0098181F" w:rsidRDefault="0098181F" w:rsidP="0098181F"/>
    <w:sectPr w:rsidR="0098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F"/>
    <w:rsid w:val="0039604E"/>
    <w:rsid w:val="003E0ACC"/>
    <w:rsid w:val="0098181F"/>
    <w:rsid w:val="00D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BA97"/>
  <w15:chartTrackingRefBased/>
  <w15:docId w15:val="{E3BC70AE-1F6E-4518-A974-068F8B73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2016-03-07T08:23:00Z</dcterms:created>
  <dcterms:modified xsi:type="dcterms:W3CDTF">2016-03-07T08:30:00Z</dcterms:modified>
</cp:coreProperties>
</file>